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51FF3">
      <w:pPr>
        <w:pStyle w:val="4"/>
        <w:keepNext w:val="0"/>
        <w:keepLines w:val="0"/>
        <w:pageBreakBefore w:val="0"/>
        <w:spacing w:before="220" w:after="220" w:line="204" w:lineRule="auto"/>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警企共建监控设施项目设备主材采购招标公告</w:t>
      </w:r>
    </w:p>
    <w:p w14:paraId="55AFB284">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一、招标编号：1191260511001</w:t>
      </w:r>
    </w:p>
    <w:p w14:paraId="2B348E8C">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二、招标名称：警企共建监控设施项目设备主材采购</w:t>
      </w:r>
      <w:bookmarkStart w:id="0" w:name="_GoBack"/>
      <w:bookmarkEnd w:id="0"/>
    </w:p>
    <w:p w14:paraId="4BB9F9E4">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三、项目概况和招标范围</w:t>
      </w:r>
    </w:p>
    <w:p w14:paraId="474A7FB5">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本项目为济钢新村警企共建民生安防工程配套设备主材采购，所有设备需符合公安部门治安防控技术标准，与项目施工要求完全匹配，满足小区全方位安防监控建设需求。</w:t>
      </w:r>
    </w:p>
    <w:p w14:paraId="638F1DEE">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（一）项目实施地点</w:t>
      </w:r>
    </w:p>
    <w:p w14:paraId="0D13B55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济钢新村小区项目现场（山东省济南市历城区工业北路 21 号）</w:t>
      </w:r>
    </w:p>
    <w:p w14:paraId="732E8D41">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（二）招标核心内容</w:t>
      </w:r>
    </w:p>
    <w:p w14:paraId="702BF88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完成本项目监控系统核心设备主材的采购、供货、运输、卸货、现场交接、技术配合、售后质保全流程服务，具体采购设备清单及参数要求如下：</w:t>
      </w:r>
    </w:p>
    <w:tbl>
      <w:tblPr>
        <w:tblStyle w:val="33"/>
        <w:tblW w:w="923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056"/>
        <w:gridCol w:w="1230"/>
        <w:gridCol w:w="2235"/>
        <w:gridCol w:w="3840"/>
        <w:gridCol w:w="870"/>
      </w:tblGrid>
      <w:tr w14:paraId="5C3A96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ECCD8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23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931334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E8772C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设备名称</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F9BA4B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主要参数</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D23418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数量</w:t>
            </w:r>
          </w:p>
        </w:tc>
      </w:tr>
      <w:tr w14:paraId="644F29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AA41EB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ADA9E4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录像机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系统</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26825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32路及以上监控主机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F6720B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支持32路及以上IPC接入，接入带宽：20Mbps；转发带宽：160Mbps</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EB4B1B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7A9500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76E9AC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0E31EF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F96A6F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硬盘</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64D3DF">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10T+</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032279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12</w:t>
            </w:r>
          </w:p>
        </w:tc>
      </w:tr>
      <w:tr w14:paraId="4A83C7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B9C365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6B81175">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AC812F3">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监视器</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C6E1CF1">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DC725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34E39F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63A9A3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0FF050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摄像机</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39DEE2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400万及以上筒型网络摄像机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37827FC">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采用400万及以上像素，最低分辨率2560*1440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定焦镜头焦距为4.0 mm+，光圈大小为F1.6+</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4E91BF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91</w:t>
            </w:r>
          </w:p>
        </w:tc>
      </w:tr>
      <w:tr w14:paraId="370F8B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83F98C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8DC237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F8BB14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400万及以上智能型高空抛物筒型网络摄像机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E637EE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采用400万及以上像素，高空抛物事件智能检测</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DB0EFD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w:t>
            </w:r>
          </w:p>
        </w:tc>
      </w:tr>
      <w:tr w14:paraId="5EB1E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333011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251D89A">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793D26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电梯电瓶车识别网络摄像机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1A7D43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采用300万及以上像素，可识别电瓶车/自行车入梯并联动声光报警</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BB1D4BC">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1CFB24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036B8B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13D689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交换机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系统</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BAA2A2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非网管以太网交换机(PoE)</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C023BD0">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8口+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64962D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48</w:t>
            </w:r>
          </w:p>
        </w:tc>
      </w:tr>
      <w:tr w14:paraId="73DBF8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87B562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D96190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80489C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以太网交换机主机(PoE)</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1CBF81">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E62330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039351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DA4FF6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508F171">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237301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24口汇聚交换机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98374B6">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104DACE">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72DC0F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7B7854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9596030">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CB7AD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单模千兆光纤收发器</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013865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最大传输距离3kM+，非网管型与RG-FC11G-3B或者RG-FC14G-3B配套使用</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5C18B1E">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48</w:t>
            </w:r>
          </w:p>
        </w:tc>
      </w:tr>
      <w:tr w14:paraId="292E9D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D5349B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FD75B76">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F93771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收发器机框</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11D683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14+槽机架，可插入14台+光纤收发器，兼容睿易单电口光收发器使用</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3B2347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6BA89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7A4CF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AD71F39">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6E00CC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300米以上电梯无线网桥</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B55AF2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端口速率:百兆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最小传输距离:300m</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C0ABE3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E02C6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9F3140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255262E">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6BB508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500米以上电梯无线网桥</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728CFF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端口速率:百兆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最小传输距离:500m</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7053F3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bl>
    <w:p w14:paraId="62219E2F">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（三）供货期限</w:t>
      </w:r>
    </w:p>
    <w:p w14:paraId="4F302206">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合同签订之日起15 日历天内，完成全部设备主材的供货、现场验收交接，交货地点为济钢新村项目招标人指定地点。</w:t>
      </w:r>
    </w:p>
    <w:p w14:paraId="1418D289">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（四）质量标准</w:t>
      </w:r>
    </w:p>
    <w:p w14:paraId="69659CE5">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所有设备须符合国家《安全防范工程技术标准》（GB 50348-2018）及相关安防设备国家、行业规范，为原厂全新正品，提供完整原厂质保资料、合格证明，完全满足项目施工及最终公安验收要求。</w:t>
      </w:r>
    </w:p>
    <w:p w14:paraId="66AAB2D2">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（五）质保要求</w:t>
      </w:r>
    </w:p>
    <w:p w14:paraId="54C40AF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质保期 1 年，自项目整体竣工验收合格并出具《竣工验收确认单》之日起计算。质保期内提供 7*24 小时全天候技术支持，接到故障通知后30分钟内响应，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24小时到场</w:t>
      </w:r>
      <w:r>
        <w:rPr>
          <w:rFonts w:hint="eastAsia" w:ascii="仿宋_GB2312" w:hAnsi="仿宋_GB2312" w:eastAsia="仿宋_GB2312" w:cs="仿宋_GB2312"/>
          <w:color w:val="000000" w:themeColor="text1"/>
          <w:sz w:val="32"/>
          <w:szCs w:val="32"/>
          <w14:textFill>
            <w14:solidFill>
              <w14:schemeClr w14:val="tx1"/>
            </w14:solidFill>
          </w14:textFill>
        </w:rPr>
        <w:t>并提供免费维修 / 更换服务，质保范围内所有费用由中标人承担。</w:t>
      </w:r>
    </w:p>
    <w:p w14:paraId="3F95A3C6">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四、投标人资格要求</w:t>
      </w:r>
    </w:p>
    <w:p w14:paraId="2C94DBF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在中华人民共和国境内注册，具有独立法人资格，具备有效的营业执照，能够独立承担民事责任；</w:t>
      </w:r>
    </w:p>
    <w:p w14:paraId="63062C4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具备本项目设备供货能力的生产厂家或原厂授权代理商，代理商投标需提供设备生产厂家针对本项目的专项授权书及原厂质保承诺函；</w:t>
      </w:r>
    </w:p>
    <w:p w14:paraId="35822838">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具有良好的企业信誉和健全的财务会计制度，能够提供近 3 年企业财务报表；</w:t>
      </w:r>
    </w:p>
    <w:p w14:paraId="01F876B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具有履行合同必需的设备、供货保障能力，近 3 年（2023 年 1 月 1 日以来）</w:t>
      </w:r>
      <w:r>
        <w:rPr>
          <w:rFonts w:hint="eastAsia" w:ascii="仿宋_GB2312" w:hAnsi="仿宋_GB2312" w:eastAsia="仿宋_GB2312" w:cs="仿宋_GB2312"/>
        </w:rPr>
        <w:t>同类安防设备供货</w:t>
      </w:r>
      <w:r>
        <w:rPr>
          <w:rFonts w:hint="eastAsia" w:ascii="仿宋_GB2312" w:hAnsi="仿宋_GB2312" w:eastAsia="仿宋_GB2312" w:cs="仿宋_GB2312"/>
          <w:color w:val="000000" w:themeColor="text1"/>
          <w:sz w:val="32"/>
          <w:szCs w:val="32"/>
          <w14:textFill>
            <w14:solidFill>
              <w14:schemeClr w14:val="tx1"/>
            </w14:solidFill>
          </w14:textFill>
        </w:rPr>
        <w:t>业绩不少于 1 个（需附合同关键页复印件加盖公章）；</w:t>
      </w:r>
    </w:p>
    <w:p w14:paraId="6B98E31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有依法缴纳税收和社会保障金的良好记录；</w:t>
      </w:r>
    </w:p>
    <w:p w14:paraId="369EBE01">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在经营活动中没有重大违法记录，需提供 “信用中国” 网站无失信被执行人、重大税收违法失信主体记录查询截图；</w:t>
      </w:r>
    </w:p>
    <w:p w14:paraId="25FA2BB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不接受联合体投标，不接受挂靠、借用资质投标，严禁中标后转包、违法分包；</w:t>
      </w:r>
    </w:p>
    <w:p w14:paraId="5837861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所有资质文件只接受在招投标系统中注册的电子文档，电子文档格式为 JPG，不接受传真和邮寄的书面资料；</w:t>
      </w:r>
    </w:p>
    <w:p w14:paraId="00FD1C0A">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如有单位资料造假，一经发现，立即在网上公示，并永久取消投标资格。</w:t>
      </w:r>
    </w:p>
    <w:p w14:paraId="6030C13E">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五、公告和报名</w:t>
      </w:r>
    </w:p>
    <w:p w14:paraId="72732D12">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（一）报名方式</w:t>
      </w:r>
    </w:p>
    <w:p w14:paraId="7E29FD8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登录www.jigang.com.cn— 济钢集团有限公司阳光购销平台或bidding.jigang.com.cn 进行网上报名；使用指南可在网站首页 “帮助中心” 下载。</w:t>
      </w:r>
    </w:p>
    <w:p w14:paraId="1B7C434D">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（二）公告和报名时间</w:t>
      </w:r>
    </w:p>
    <w:p w14:paraId="5AC0BEB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5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 xml:space="preserve"> 日～2026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 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 xml:space="preserve"> 日（北京时间，法定节假日不受理报名）。</w:t>
      </w:r>
    </w:p>
    <w:p w14:paraId="49F62D10">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六、招标文件获取</w:t>
      </w:r>
    </w:p>
    <w:p w14:paraId="49B5A6D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标书费报名时系统自动提示，报名成功并缴纳标书费 200 元，经采购人确认后可下载招标文件。</w:t>
      </w:r>
    </w:p>
    <w:p w14:paraId="37FB0ED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标书费开标前转账至以下指定账户，售后不退，转账回执单发送至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591893032</w:t>
      </w:r>
      <w:r>
        <w:rPr>
          <w:rFonts w:hint="eastAsia" w:ascii="仿宋_GB2312" w:hAnsi="仿宋_GB2312" w:eastAsia="仿宋_GB2312" w:cs="仿宋_GB2312"/>
          <w:color w:val="000000" w:themeColor="text1"/>
          <w:sz w:val="32"/>
          <w:szCs w:val="32"/>
          <w14:textFill>
            <w14:solidFill>
              <w14:schemeClr w14:val="tx1"/>
            </w14:solidFill>
          </w14:textFill>
        </w:rPr>
        <w:t>@qq.com 邮箱。如需开具标书费发票，请将开票信息及发票邮寄地址、收件人联系方式发送至上述邮箱（邮费到付），开票信息只接受 WORD 格式的附件。</w:t>
      </w:r>
    </w:p>
    <w:p w14:paraId="77295898">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七、投标保证金（只限银行转账）</w:t>
      </w:r>
    </w:p>
    <w:p w14:paraId="4F91DE7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本项目投标保证金金额为人民币 2000 元（大写：贰仟元整），最后缴纳日期：2026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 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 xml:space="preserve"> 日 16:00 时。逾期缴纳的，投标将被拒绝；投标人未按要求缴纳投标保证金的，其投标文件将被拒收。</w:t>
      </w:r>
    </w:p>
    <w:p w14:paraId="41B7A9A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投标保证金应从投标人银行基本账户内转出或汇出，为方便退还不出具收据。交款时需注明招标编号及款项性质（设备采购投标保证金），并将回单及时发送至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591893032</w:t>
      </w:r>
      <w:r>
        <w:rPr>
          <w:rFonts w:hint="eastAsia" w:ascii="仿宋_GB2312" w:hAnsi="仿宋_GB2312" w:eastAsia="仿宋_GB2312" w:cs="仿宋_GB2312"/>
          <w:color w:val="000000" w:themeColor="text1"/>
          <w:sz w:val="32"/>
          <w:szCs w:val="32"/>
          <w14:textFill>
            <w14:solidFill>
              <w14:schemeClr w14:val="tx1"/>
            </w14:solidFill>
          </w14:textFill>
        </w:rPr>
        <w:t>@qq.com 邮箱。</w:t>
      </w:r>
    </w:p>
    <w:p w14:paraId="438C51FB">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缴纳投标保证金、标书费账户信息：</w:t>
      </w:r>
    </w:p>
    <w:p w14:paraId="387A8C0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 称：山东济钢保安服务有限公司</w:t>
      </w:r>
    </w:p>
    <w:p w14:paraId="0E43CF90">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开户行：中国银行股份有限公司济南文化路支行</w:t>
      </w:r>
    </w:p>
    <w:p w14:paraId="6665A6B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账 号：223437438291</w:t>
      </w:r>
    </w:p>
    <w:p w14:paraId="7CC1D68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注意：标书费与投标保证金一定要分2笔转入，并分别备注说明款项性质。</w:t>
      </w:r>
    </w:p>
    <w:p w14:paraId="792921D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投标保证金在合同签订后原账户无息退还。</w:t>
      </w:r>
    </w:p>
    <w:p w14:paraId="77ED411F">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八、投标文件的提交</w:t>
      </w:r>
    </w:p>
    <w:p w14:paraId="45BD1C70">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投标文件提交的截止时间（投标截止时间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下同）为 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26 </w:t>
      </w:r>
      <w:r>
        <w:rPr>
          <w:rFonts w:hint="eastAsia" w:ascii="仿宋_GB2312" w:hAnsi="仿宋_GB2312" w:eastAsia="仿宋_GB2312" w:cs="仿宋_GB2312"/>
          <w:color w:val="000000" w:themeColor="text1"/>
          <w:sz w:val="32"/>
          <w:szCs w:val="32"/>
          <w14:textFill>
            <w14:solidFill>
              <w14:schemeClr w14:val="tx1"/>
            </w14:solidFill>
          </w14:textFill>
        </w:rPr>
        <w:t>日9时30分。</w:t>
      </w:r>
    </w:p>
    <w:p w14:paraId="28D3EDF4">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开标时间：同投标截止时间。</w:t>
      </w:r>
    </w:p>
    <w:p w14:paraId="00EA6AFA">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投标方式：网上投标，谢绝现场投标。中标公示后，中标单位需将投标文件正本一份，副本两份及相关投标资料邮寄至：山东省济南市烈士山北路 6 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侯女士</w:t>
      </w:r>
      <w:r>
        <w:rPr>
          <w:rFonts w:hint="eastAsia" w:ascii="仿宋_GB2312" w:hAnsi="仿宋_GB2312" w:eastAsia="仿宋_GB2312" w:cs="仿宋_GB2312"/>
          <w:color w:val="000000" w:themeColor="text1"/>
          <w:sz w:val="32"/>
          <w:szCs w:val="32"/>
          <w14:textFill>
            <w14:solidFill>
              <w14:schemeClr w14:val="tx1"/>
            </w14:solidFill>
          </w14:textFill>
        </w:rPr>
        <w:t>收，邮编：250100，联系电话：0531-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68650826</w:t>
      </w:r>
      <w:r>
        <w:rPr>
          <w:rFonts w:hint="eastAsia" w:ascii="仿宋_GB2312" w:hAnsi="仿宋_GB2312" w:eastAsia="仿宋_GB2312" w:cs="仿宋_GB2312"/>
          <w:color w:val="000000" w:themeColor="text1"/>
          <w:sz w:val="32"/>
          <w:szCs w:val="32"/>
          <w14:textFill>
            <w14:solidFill>
              <w14:schemeClr w14:val="tx1"/>
            </w14:solidFill>
          </w14:textFill>
        </w:rPr>
        <w:t>。</w:t>
      </w:r>
    </w:p>
    <w:p w14:paraId="3BDBADAF">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九、资格审查方式</w:t>
      </w:r>
    </w:p>
    <w:p w14:paraId="7D86400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本项目采用资格后审方式：开标后，评标委员会对投标单位的资质文件进行评审。评审合格的进入下一阶段评审，评审不合格的按废标处理，标书费不退。</w:t>
      </w:r>
    </w:p>
    <w:p w14:paraId="7F32F939">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十、发布公告的媒介</w:t>
      </w:r>
    </w:p>
    <w:p w14:paraId="5C2E72D1">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本次招标公告在济钢集团阳光购销平台发布。</w:t>
      </w:r>
    </w:p>
    <w:p w14:paraId="58D05389">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十一、最高限价</w:t>
      </w:r>
    </w:p>
    <w:p w14:paraId="6BA4D1B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本项目含税最高限价为人民币9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3500</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玖万叁仟伍佰元整</w:t>
      </w:r>
      <w:r>
        <w:rPr>
          <w:rFonts w:hint="eastAsia" w:ascii="仿宋_GB2312" w:hAnsi="仿宋_GB2312" w:eastAsia="仿宋_GB2312" w:cs="仿宋_GB2312"/>
          <w:color w:val="000000" w:themeColor="text1"/>
          <w:sz w:val="32"/>
          <w:szCs w:val="32"/>
          <w14:textFill>
            <w14:solidFill>
              <w14:schemeClr w14:val="tx1"/>
            </w14:solidFill>
          </w14:textFill>
        </w:rPr>
        <w:t>），税率 13%，投标报价超过最高限价的按废标处理。</w:t>
      </w:r>
    </w:p>
    <w:p w14:paraId="274D5AEB">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十二、联系方式</w:t>
      </w:r>
    </w:p>
    <w:p w14:paraId="32618179">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招标联系人：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侯女士</w:t>
      </w:r>
      <w:r>
        <w:rPr>
          <w:rFonts w:hint="eastAsia" w:ascii="仿宋_GB2312" w:hAnsi="仿宋_GB2312" w:eastAsia="仿宋_GB2312" w:cs="仿宋_GB2312"/>
          <w:color w:val="000000" w:themeColor="text1"/>
          <w:sz w:val="32"/>
          <w:szCs w:val="32"/>
          <w14:textFill>
            <w14:solidFill>
              <w14:schemeClr w14:val="tx1"/>
            </w14:solidFill>
          </w14:textFill>
        </w:rPr>
        <w:t>，联系电话：0531-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68650826</w:t>
      </w:r>
    </w:p>
    <w:p w14:paraId="4C5358C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业务联系人：翟先生，联系电话：13156123789</w:t>
      </w:r>
    </w:p>
    <w:p w14:paraId="5118BCC8">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十三、其他要求</w:t>
      </w:r>
    </w:p>
    <w:p w14:paraId="5B6AD04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本招标严格遵循《济钢集团协同业务管理暂行规定》要求，严禁中标人转包、违法分包，严禁假借协同名义通过业务转包赚取差价，一经发现，招标人有权取消其中标资格，没收投标保证金 / 履约保证金，并追究相应违约责任。</w:t>
      </w:r>
    </w:p>
    <w:p w14:paraId="02C804B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本招标公告未尽事宜，以最终发布的招标文件为准。</w:t>
      </w:r>
    </w:p>
    <w:p w14:paraId="6E42B6E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p>
    <w:p w14:paraId="73C70462">
      <w:pPr>
        <w:keepNext w:val="0"/>
        <w:keepLines w:val="0"/>
        <w:pageBreakBefore w:val="0"/>
        <w:widowControl/>
        <w:kinsoku/>
        <w:wordWrap/>
        <w:overflowPunct/>
        <w:topLinePunct w:val="0"/>
        <w:autoSpaceDE/>
        <w:autoSpaceDN/>
        <w:bidi w:val="0"/>
        <w:adjustRightInd/>
        <w:snapToGrid/>
        <w:spacing w:before="0" w:after="0" w:line="592" w:lineRule="exact"/>
        <w:ind w:left="0" w:firstLine="654" w:firstLineChars="200"/>
        <w:jc w:val="right"/>
        <w:textAlignment w:val="auto"/>
        <w:rPr>
          <w:rFonts w:hint="default"/>
          <w:lang w:val="en-US"/>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ascii="仿宋_GB2312" w:hAnsi="仿宋_GB2312" w:eastAsia="仿宋_GB2312" w:cs="仿宋_GB2312"/>
          <w:color w:val="000000" w:themeColor="text1"/>
          <w:sz w:val="32"/>
          <w14:textFill>
            <w14:solidFill>
              <w14:schemeClr w14:val="tx1"/>
            </w14:solidFill>
          </w14:textFill>
        </w:rPr>
        <w:t>山东济钢保安服务有限公司</w:t>
      </w: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2026年5月11日</w:t>
      </w:r>
    </w:p>
    <w:sectPr>
      <w:footerReference r:id="rId5" w:type="default"/>
      <w:pgSz w:w="12240" w:h="15840"/>
      <w:pgMar w:top="2098" w:right="1474" w:bottom="1984" w:left="1587" w:header="720" w:footer="720" w:gutter="0"/>
      <w:pgNumType w:fmt="decimal"/>
      <w:cols w:space="0" w:num="1"/>
      <w:rtlGutter w:val="0"/>
      <w:docGrid w:type="linesAndChars" w:linePitch="534" w:charSpace="1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5EBA">
    <w:pPr>
      <w:pStyle w:val="24"/>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B4949">
                          <w:pPr>
                            <w:pStyle w:val="24"/>
                            <w:rPr>
                              <w:sz w:val="28"/>
                              <w:szCs w:val="28"/>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7</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4B4949">
                    <w:pPr>
                      <w:pStyle w:val="24"/>
                      <w:rPr>
                        <w:sz w:val="28"/>
                        <w:szCs w:val="28"/>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7</w:t>
                    </w:r>
                    <w:r>
                      <w:rPr>
                        <w:sz w:val="24"/>
                        <w:szCs w:val="24"/>
                      </w:rPr>
                      <w:fldChar w:fldCharType="end"/>
                    </w:r>
                    <w:r>
                      <w:rPr>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64"/>
  <w:drawingGridVerticalSpacing w:val="267"/>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35884"/>
    <w:rsid w:val="00FC693F"/>
    <w:rsid w:val="133E0CDF"/>
    <w:rsid w:val="15E675F9"/>
    <w:rsid w:val="23D94125"/>
    <w:rsid w:val="25150C2F"/>
    <w:rsid w:val="291134EF"/>
    <w:rsid w:val="2E9F6689"/>
    <w:rsid w:val="31AC0271"/>
    <w:rsid w:val="35665C24"/>
    <w:rsid w:val="389E23F2"/>
    <w:rsid w:val="38A96B53"/>
    <w:rsid w:val="3D724809"/>
    <w:rsid w:val="40353F86"/>
    <w:rsid w:val="40FD66AE"/>
    <w:rsid w:val="43D83C3F"/>
    <w:rsid w:val="4759319A"/>
    <w:rsid w:val="4A295FFF"/>
    <w:rsid w:val="4A880DD3"/>
    <w:rsid w:val="54E64B55"/>
    <w:rsid w:val="64D96C80"/>
    <w:rsid w:val="66EE6C24"/>
    <w:rsid w:val="6B326805"/>
    <w:rsid w:val="6BA544E2"/>
    <w:rsid w:val="771F3B81"/>
    <w:rsid w:val="773115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before="0" w:after="0" w:line="276" w:lineRule="auto"/>
    </w:pPr>
    <w:rPr>
      <w:rFonts w:ascii="微软雅黑" w:hAnsi="微软雅黑" w:eastAsia="微软雅黑" w:cstheme="minorBidi"/>
      <w:sz w:val="32"/>
      <w:szCs w:val="32"/>
      <w:lang w:val="en-US" w:eastAsia="en-US" w:bidi="ar-SA"/>
    </w:rPr>
  </w:style>
  <w:style w:type="paragraph" w:styleId="4">
    <w:name w:val="heading 1"/>
    <w:basedOn w:val="1"/>
    <w:next w:val="1"/>
    <w:link w:val="138"/>
    <w:qFormat/>
    <w:uiPriority w:val="9"/>
    <w:pPr>
      <w:keepNext/>
      <w:keepLines/>
      <w:spacing w:before="480" w:after="0"/>
      <w:outlineLvl w:val="0"/>
    </w:pPr>
    <w:rPr>
      <w:rFonts w:ascii="微软雅黑" w:hAnsi="微软雅黑" w:eastAsia="微软雅黑" w:cs="微软雅黑"/>
      <w:b/>
      <w:bCs/>
      <w:color w:val="376092" w:themeColor="accent1" w:themeShade="BF"/>
      <w:sz w:val="28"/>
      <w:szCs w:val="28"/>
    </w:rPr>
  </w:style>
  <w:style w:type="paragraph" w:styleId="5">
    <w:name w:val="heading 2"/>
    <w:basedOn w:val="1"/>
    <w:next w:val="1"/>
    <w:link w:val="139"/>
    <w:unhideWhenUsed/>
    <w:qFormat/>
    <w:uiPriority w:val="9"/>
    <w:pPr>
      <w:keepNext/>
      <w:keepLines/>
      <w:spacing w:before="200" w:after="0"/>
      <w:outlineLvl w:val="1"/>
    </w:pPr>
    <w:rPr>
      <w:rFonts w:ascii="微软雅黑" w:hAnsi="微软雅黑" w:eastAsia="微软雅黑" w:cs="微软雅黑"/>
      <w:b/>
      <w:bCs/>
      <w:color w:val="4F81BD" w:themeColor="accent1"/>
      <w:sz w:val="26"/>
      <w:szCs w:val="26"/>
      <w14:textFill>
        <w14:solidFill>
          <w14:schemeClr w14:val="accent1"/>
        </w14:solidFill>
      </w14:textFill>
    </w:rPr>
  </w:style>
  <w:style w:type="paragraph" w:styleId="2">
    <w:name w:val="heading 3"/>
    <w:basedOn w:val="1"/>
    <w:next w:val="1"/>
    <w:link w:val="140"/>
    <w:unhideWhenUsed/>
    <w:qFormat/>
    <w:uiPriority w:val="9"/>
    <w:pPr>
      <w:keepNext/>
      <w:keepLines/>
      <w:spacing w:before="200" w:after="0"/>
      <w:outlineLvl w:val="2"/>
    </w:pPr>
    <w:rPr>
      <w:rFonts w:ascii="微软雅黑" w:hAnsi="微软雅黑" w:eastAsia="微软雅黑" w:cs="微软雅黑"/>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微软雅黑" w:hAnsi="微软雅黑" w:eastAsia="微软雅黑" w:cs="微软雅黑"/>
      <w:b/>
      <w:b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微软雅黑" w:hAnsi="微软雅黑" w:eastAsia="微软雅黑" w:cs="微软雅黑"/>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微软雅黑" w:hAnsi="微软雅黑" w:eastAsia="微软雅黑" w:cs="微软雅黑"/>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2"/>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3"/>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2264</Words>
  <Characters>2542</Characters>
  <Lines>0</Lines>
  <Paragraphs>0</Paragraphs>
  <TotalTime>0</TotalTime>
  <ScaleCrop>false</ScaleCrop>
  <LinksUpToDate>false</LinksUpToDate>
  <CharactersWithSpaces>2658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侯继娥</cp:lastModifiedBy>
  <dcterms:modified xsi:type="dcterms:W3CDTF">2026-05-11T05:57:23Z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eyJoZGlkIjoiOTViNDc4NzQ1OWQxZGQ2YjIxNjJlNDc0MDQ3Y2UzY2YiLCJ1c2VySWQiOiI0NDI4NjczODkifQ==</vt:lpwstr>
  </property>
  <property fmtid="{D5CDD505-2E9C-101B-9397-08002B2CF9AE}" pid="3" name="KSOProductBuildVer">
    <vt:lpwstr>2052-12.1.0.25865</vt:lpwstr>
  </property>
  <property fmtid="{D5CDD505-2E9C-101B-9397-08002B2CF9AE}" pid="4" name="ICV">
    <vt:lpwstr>57A5F8ABB5A940AEB4219691DCAFA94F_13</vt:lpwstr>
  </property>
</Properties>
</file>